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6E4E2">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501089</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27096A71">
      <w:pPr>
        <w:tabs>
          <w:tab w:val="left" w:pos="1985"/>
        </w:tabs>
        <w:rPr>
          <w:rFonts w:ascii="Times New Roman" w:hAnsi="Times New Roman"/>
          <w:b/>
          <w:sz w:val="22"/>
          <w:highlight w:val="none"/>
        </w:rPr>
      </w:pPr>
    </w:p>
    <w:p w14:paraId="54476488">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3E1E07A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8F2BC1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Rx beam sweeping factor</w:t>
      </w:r>
    </w:p>
    <w:bookmarkEnd w:id="4"/>
    <w:bookmarkEnd w:id="5"/>
    <w:p w14:paraId="1D8F5D3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E55E3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3E04046">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DF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704FEDD">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089DF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5622B2A4">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1F0118AD">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4E55A189">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4543990F">
            <w:pPr>
              <w:keepNext w:val="0"/>
              <w:keepLines w:val="0"/>
              <w:pageBreakBefore w:val="0"/>
              <w:numPr>
                <w:ilvl w:val="0"/>
                <w:numId w:val="5"/>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7F199464">
            <w:pPr>
              <w:keepNext w:val="0"/>
              <w:keepLines w:val="0"/>
              <w:pageBreakBefore w:val="0"/>
              <w:numPr>
                <w:ilvl w:val="0"/>
                <w:numId w:val="6"/>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755D8538">
            <w:pPr>
              <w:keepNext w:val="0"/>
              <w:keepLines w:val="0"/>
              <w:pageBreakBefore w:val="0"/>
              <w:numPr>
                <w:ilvl w:val="0"/>
                <w:numId w:val="7"/>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151B728F">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92AACD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Rx beam sweeping factor</w:t>
      </w:r>
      <w:r>
        <w:rPr>
          <w:rFonts w:hint="eastAsia" w:ascii="Times New Roman" w:hAnsi="Times New Roman"/>
          <w:bCs/>
          <w:iCs/>
          <w:sz w:val="20"/>
          <w:szCs w:val="20"/>
        </w:rPr>
        <w:t>.</w:t>
      </w:r>
    </w:p>
    <w:p w14:paraId="19038A6C">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0D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9069496">
            <w:pPr>
              <w:rPr>
                <w:rFonts w:hint="default" w:ascii="Times New Roman" w:hAnsi="Times New Roman" w:cs="Times New Roman"/>
                <w:b/>
                <w:color w:val="0070C0"/>
                <w:sz w:val="20"/>
                <w:szCs w:val="20"/>
                <w:u w:val="single"/>
              </w:rPr>
            </w:pPr>
            <w:r>
              <w:rPr>
                <w:rFonts w:hint="default" w:ascii="Times New Roman" w:hAnsi="Times New Roman" w:cs="Times New Roman"/>
                <w:b/>
                <w:color w:val="0070C0"/>
                <w:sz w:val="20"/>
                <w:szCs w:val="20"/>
                <w:u w:val="single"/>
                <w:lang w:eastAsia="ko-KR"/>
              </w:rPr>
              <w:t>Issue 1-</w:t>
            </w:r>
            <w:r>
              <w:rPr>
                <w:rFonts w:hint="default" w:ascii="Times New Roman" w:hAnsi="Times New Roman" w:cs="Times New Roman"/>
                <w:b/>
                <w:color w:val="0070C0"/>
                <w:sz w:val="20"/>
                <w:szCs w:val="20"/>
                <w:u w:val="single"/>
              </w:rPr>
              <w:t>1</w:t>
            </w:r>
            <w:r>
              <w:rPr>
                <w:rFonts w:hint="default" w:ascii="Times New Roman" w:hAnsi="Times New Roman" w:cs="Times New Roman"/>
                <w:b/>
                <w:color w:val="0070C0"/>
                <w:sz w:val="20"/>
                <w:szCs w:val="20"/>
                <w:u w:val="single"/>
                <w:lang w:eastAsia="ko-KR"/>
              </w:rPr>
              <w:t>-1: Conditions to trigger UE to activate L3 measurement delay reduction by optimizing Rx BSF (</w:t>
            </w:r>
            <w:r>
              <w:rPr>
                <w:rFonts w:hint="default" w:ascii="Times New Roman" w:hAnsi="Times New Roman" w:cs="Times New Roman"/>
                <w:b/>
                <w:bCs/>
                <w:iCs/>
                <w:color w:val="0070C0"/>
                <w:sz w:val="20"/>
                <w:szCs w:val="20"/>
                <w:u w:val="single"/>
                <w:lang w:eastAsia="ko-KR"/>
              </w:rPr>
              <w:t>including activation condition and de-activation conditions</w:t>
            </w:r>
            <w:r>
              <w:rPr>
                <w:rFonts w:hint="default" w:ascii="Times New Roman" w:hAnsi="Times New Roman" w:cs="Times New Roman"/>
                <w:b/>
                <w:color w:val="0070C0"/>
                <w:sz w:val="20"/>
                <w:szCs w:val="20"/>
                <w:u w:val="single"/>
                <w:lang w:eastAsia="ko-KR"/>
              </w:rPr>
              <w:t>):</w:t>
            </w:r>
          </w:p>
          <w:p w14:paraId="502EF2AE">
            <w:pPr>
              <w:snapToGrid w:val="0"/>
              <w:rPr>
                <w:rFonts w:hint="default" w:ascii="Times New Roman" w:hAnsi="Times New Roman" w:cs="Times New Roman"/>
                <w:bCs/>
                <w:sz w:val="20"/>
                <w:szCs w:val="20"/>
                <w:highlight w:val="green"/>
              </w:rPr>
            </w:pPr>
          </w:p>
          <w:p w14:paraId="094717FB">
            <w:pPr>
              <w:snapToGrid w:val="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Agreement:</w:t>
            </w:r>
          </w:p>
          <w:p w14:paraId="076FBB8C">
            <w:pPr>
              <w:pStyle w:val="10"/>
              <w:numPr>
                <w:ilvl w:val="0"/>
                <w:numId w:val="8"/>
              </w:numPr>
              <w:snapToGrid w:val="0"/>
              <w:spacing w:after="120"/>
              <w:ind w:left="644" w:firstLineChars="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RAN4 to introduce serving cell’s signal quality (i.e., based on RSRP and/or RSRQ threshold(s)) based triggering condition to activate/deactivate multi-Rx for L3 measurement.</w:t>
            </w:r>
          </w:p>
          <w:p w14:paraId="5C146C13">
            <w:pPr>
              <w:snapToGrid w:val="0"/>
              <w:rPr>
                <w:rFonts w:hint="default" w:ascii="Times New Roman" w:hAnsi="Times New Roman" w:cs="Times New Roman"/>
                <w:bCs/>
                <w:sz w:val="20"/>
                <w:szCs w:val="20"/>
                <w:highlight w:val="green"/>
              </w:rPr>
            </w:pPr>
          </w:p>
          <w:p w14:paraId="647AA8A6">
            <w:pPr>
              <w:snapToGrid w:val="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Agreement:</w:t>
            </w:r>
          </w:p>
          <w:p w14:paraId="50A4CA63">
            <w:pPr>
              <w:pStyle w:val="10"/>
              <w:numPr>
                <w:ilvl w:val="0"/>
                <w:numId w:val="8"/>
              </w:numPr>
              <w:snapToGrid w:val="0"/>
              <w:ind w:left="644" w:firstLineChars="0"/>
              <w:rPr>
                <w:rFonts w:hint="default" w:ascii="Times New Roman" w:hAnsi="Times New Roman" w:cs="Times New Roman"/>
                <w:bCs/>
                <w:sz w:val="20"/>
                <w:szCs w:val="20"/>
              </w:rPr>
            </w:pPr>
            <w:r>
              <w:rPr>
                <w:rFonts w:hint="default" w:ascii="Times New Roman" w:hAnsi="Times New Roman" w:cs="Times New Roman"/>
                <w:bCs/>
                <w:sz w:val="20"/>
                <w:szCs w:val="20"/>
                <w:highlight w:val="green"/>
              </w:rPr>
              <w:t>Not support UE mobility status based triggering condition in Rel-19.</w:t>
            </w:r>
            <w:r>
              <w:rPr>
                <w:rFonts w:hint="default" w:ascii="Times New Roman" w:hAnsi="Times New Roman" w:cs="Times New Roman"/>
                <w:bCs/>
                <w:sz w:val="20"/>
                <w:szCs w:val="20"/>
              </w:rPr>
              <w:t xml:space="preserve"> </w:t>
            </w:r>
          </w:p>
          <w:p w14:paraId="21E37323">
            <w:pPr>
              <w:rPr>
                <w:rFonts w:hint="default" w:ascii="Times New Roman" w:hAnsi="Times New Roman" w:cs="Times New Roman"/>
                <w:b/>
                <w:color w:val="0070C0"/>
                <w:sz w:val="20"/>
                <w:szCs w:val="20"/>
                <w:u w:val="single"/>
                <w:lang w:eastAsia="ko-KR"/>
              </w:rPr>
            </w:pPr>
          </w:p>
          <w:p w14:paraId="115526FC">
            <w:pPr>
              <w:rPr>
                <w:rFonts w:hint="default" w:ascii="Times New Roman" w:hAnsi="Times New Roman" w:cs="Times New Roman"/>
                <w:b/>
                <w:color w:val="0070C0"/>
                <w:sz w:val="20"/>
                <w:szCs w:val="20"/>
                <w:u w:val="single"/>
              </w:rPr>
            </w:pPr>
            <w:r>
              <w:rPr>
                <w:rFonts w:hint="default" w:ascii="Times New Roman" w:hAnsi="Times New Roman" w:cs="Times New Roman"/>
                <w:b/>
                <w:color w:val="0070C0"/>
                <w:sz w:val="20"/>
                <w:szCs w:val="20"/>
                <w:u w:val="single"/>
                <w:lang w:eastAsia="ko-KR"/>
              </w:rPr>
              <w:t>Issue 1-</w:t>
            </w:r>
            <w:r>
              <w:rPr>
                <w:rFonts w:hint="default" w:ascii="Times New Roman" w:hAnsi="Times New Roman" w:cs="Times New Roman"/>
                <w:b/>
                <w:color w:val="0070C0"/>
                <w:sz w:val="20"/>
                <w:szCs w:val="20"/>
                <w:u w:val="single"/>
              </w:rPr>
              <w:t>1</w:t>
            </w:r>
            <w:r>
              <w:rPr>
                <w:rFonts w:hint="default" w:ascii="Times New Roman" w:hAnsi="Times New Roman" w:cs="Times New Roman"/>
                <w:b/>
                <w:color w:val="0070C0"/>
                <w:sz w:val="20"/>
                <w:szCs w:val="20"/>
                <w:u w:val="single"/>
                <w:lang w:eastAsia="ko-KR"/>
              </w:rPr>
              <w:t>-2: Conditions to trigger UE to quit “L3 measurement delay reduction by optimizing Rx BSF” :</w:t>
            </w:r>
          </w:p>
          <w:p w14:paraId="1C0B4E05">
            <w:pPr>
              <w:spacing w:after="180" w:line="240" w:lineRule="exac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Candidate options:</w:t>
            </w:r>
          </w:p>
          <w:p w14:paraId="6D3B4CC3">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w:t>
            </w:r>
            <w:r>
              <w:rPr>
                <w:rFonts w:hint="default" w:ascii="Times New Roman" w:hAnsi="Times New Roman" w:cs="Times New Roman"/>
                <w:sz w:val="20"/>
                <w:szCs w:val="20"/>
                <w:lang w:val="en-US" w:eastAsia="zh-CN"/>
              </w:rPr>
              <w:t>1</w:t>
            </w:r>
            <w:r>
              <w:rPr>
                <w:rFonts w:hint="default" w:ascii="Times New Roman" w:hAnsi="Times New Roman" w:eastAsia="宋体" w:cs="Times New Roman"/>
                <w:sz w:val="20"/>
                <w:szCs w:val="20"/>
              </w:rPr>
              <w:t xml:space="preserve"> : UE indication to the NW when UE requires to deactivate multi-Rx for FR2-1 SSB based L3 measurement delay reduction (e.g., indication due to overheating resulting from activating multiple panels for long time).</w:t>
            </w:r>
          </w:p>
          <w:p w14:paraId="7C6DB801">
            <w:pPr>
              <w:pStyle w:val="10"/>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w:t>
            </w:r>
            <w:r>
              <w:rPr>
                <w:rFonts w:hint="default" w:ascii="Times New Roman" w:hAnsi="Times New Roman" w:cs="Times New Roman"/>
                <w:sz w:val="20"/>
                <w:szCs w:val="20"/>
                <w:lang w:val="en-US" w:eastAsia="zh-CN"/>
              </w:rPr>
              <w:t>2</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Apart from the threshold conditions, UE is allowed to fall back to normal measurement mode (i.e. single panel) after UE has reported qualified measurement results, since NW already has the candidate target cells for potential HO or SCell modification.</w:t>
            </w:r>
          </w:p>
          <w:p w14:paraId="4842FED8">
            <w:pPr>
              <w:pStyle w:val="10"/>
              <w:numPr>
                <w:ilvl w:val="0"/>
                <w:numId w:val="8"/>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w:t>
            </w:r>
            <w:r>
              <w:rPr>
                <w:rFonts w:hint="default" w:ascii="Times New Roman" w:hAnsi="Times New Roman" w:cs="Times New Roman"/>
                <w:sz w:val="20"/>
                <w:szCs w:val="20"/>
                <w:lang w:val="en-US" w:eastAsia="zh-CN"/>
              </w:rPr>
              <w:t>3</w:t>
            </w:r>
            <w:r>
              <w:rPr>
                <w:rFonts w:hint="default" w:ascii="Times New Roman" w:hAnsi="Times New Roman" w:eastAsia="宋体" w:cs="Times New Roman"/>
                <w:sz w:val="20"/>
                <w:szCs w:val="20"/>
              </w:rPr>
              <w:t xml:space="preserve"> : Introduce validity timer configuration with certain ranges via dedicated RRC signalling</w:t>
            </w:r>
          </w:p>
          <w:p w14:paraId="3A1CF8AE">
            <w:pPr>
              <w:spacing w:after="180" w:line="240" w:lineRule="exact"/>
              <w:rPr>
                <w:rFonts w:hint="default" w:ascii="Times New Roman" w:hAnsi="Times New Roman" w:cs="Times New Roman"/>
                <w:sz w:val="20"/>
                <w:szCs w:val="20"/>
                <w:vertAlign w:val="baseline"/>
                <w:lang w:val="en-US" w:eastAsia="zh-CN"/>
              </w:rPr>
            </w:pPr>
          </w:p>
        </w:tc>
      </w:tr>
    </w:tbl>
    <w:p w14:paraId="65AA6B7A">
      <w:pPr>
        <w:spacing w:after="180" w:line="240" w:lineRule="exact"/>
        <w:rPr>
          <w:rFonts w:hint="eastAsia" w:ascii="Times New Roman" w:hAnsi="Times New Roman" w:eastAsia="宋体" w:cs="Times New Roman"/>
          <w:sz w:val="20"/>
          <w:szCs w:val="20"/>
          <w:lang w:val="en-US" w:eastAsia="zh-CN"/>
        </w:rPr>
      </w:pPr>
    </w:p>
    <w:p w14:paraId="2575806B">
      <w:pPr>
        <w:spacing w:after="180" w:line="240" w:lineRule="exact"/>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In last meeting, it was agreed that serving cell</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signal quality (i.e., based on RSRP and/or RSRQ threshold(s)) is the triggering condition to activate/deactivate multi-Rx for L3 measurement. In detail, if the serving cell</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signal quality is above the threshold, multi-Rx for L3 measurement is activated. If the serving cell</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 signal quality is below the threshold, multi-Rx for L3 measurement is deactivated.   </w:t>
      </w:r>
    </w:p>
    <w:p w14:paraId="541BE57F">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addition to the activation/deactivation triggering condition, conditions to trigger UE to quit optimized RX BSF was also discussed. We understand the motivation to have this quit mechanism is mainly for UE power saving. However, we do not prefer to introduce mechanism to allow UE quit optimized RX BSF autonomously, since this will cause confusion from network side point of view. For the case that serving cell</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signal quality is above the threshold, it is assumed that UE will activate multi-Rx for L3 measurement. However, if quit mechanism is introduced, it means that UE may quit multi-Rx autonomously due to power consumption issue even if the activation condition is satisfied, which is not known by network. On the other hand, if UE provide indication about overheating issue at instance T1, since network has no information about how long that UE in the status of overheating, network are not sure whether UE can activate multi-RX for L3 measurement when the activation condition is satisfied at instance T2. Based on above consideration, it is not prefered to allow UE quit multi-Rx for L3 measurement autonomously. If only the UAI about overheating is introduced, and whether UE can quit multi-Rx is pending on network control, this solution can be further discussed.</w:t>
      </w:r>
    </w:p>
    <w:p w14:paraId="7102EDFF">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not preferred to allow UE quit multi-Rx for L3 measurement autonomously.</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E0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7FF577B">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 xml:space="preserve">Issue 1-1-4: FFS: SSB processing delay/time for processing multiple beams received in a SMTC  </w:t>
            </w:r>
          </w:p>
          <w:p w14:paraId="5B00A8DE">
            <w:pPr>
              <w:rPr>
                <w:rFonts w:hint="default" w:ascii="Times New Roman" w:hAnsi="Times New Roman" w:cs="Times New Roman"/>
                <w:b/>
                <w:color w:val="0070C0"/>
                <w:sz w:val="20"/>
                <w:szCs w:val="20"/>
                <w:u w:val="single"/>
                <w:lang w:eastAsia="ko-KR"/>
              </w:rPr>
            </w:pPr>
          </w:p>
          <w:p w14:paraId="4C9F95D4">
            <w:pPr>
              <w:spacing w:after="12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2143CE05">
            <w:pPr>
              <w:pStyle w:val="10"/>
              <w:numPr>
                <w:ilvl w:val="0"/>
                <w:numId w:val="8"/>
              </w:numPr>
              <w:overflowPunct/>
              <w:autoSpaceDE/>
              <w:autoSpaceDN/>
              <w:adjustRightInd/>
              <w:spacing w:after="120"/>
              <w:ind w:left="644"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For scenario 1/2/3/4</w:t>
            </w:r>
          </w:p>
          <w:p w14:paraId="41434DCA">
            <w:pPr>
              <w:pStyle w:val="10"/>
              <w:numPr>
                <w:ilvl w:val="1"/>
                <w:numId w:val="8"/>
              </w:numPr>
              <w:overflowPunct/>
              <w:autoSpaceDE/>
              <w:autoSpaceDN/>
              <w:adjustRightInd/>
              <w:spacing w:after="120"/>
              <w:ind w:left="1364"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additional processing time can be added after the last SMTC periodicity for intra/inter-frequency L3 measurement.</w:t>
            </w:r>
          </w:p>
          <w:p w14:paraId="4E0C0C28">
            <w:pPr>
              <w:pStyle w:val="10"/>
              <w:numPr>
                <w:ilvl w:val="2"/>
                <w:numId w:val="8"/>
              </w:numPr>
              <w:overflowPunct/>
              <w:autoSpaceDE/>
              <w:autoSpaceDN/>
              <w:adjustRightInd/>
              <w:spacing w:before="180" w:after="180" w:line="259" w:lineRule="auto"/>
              <w:ind w:left="2084" w:firstLineChars="0"/>
              <w:contextualSpacing/>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T</w:t>
            </w:r>
            <w:r>
              <w:rPr>
                <w:rFonts w:hint="default" w:ascii="Times New Roman" w:hAnsi="Times New Roman" w:cs="Times New Roman"/>
                <w:sz w:val="20"/>
                <w:szCs w:val="20"/>
                <w:highlight w:val="green"/>
                <w:vertAlign w:val="subscript"/>
              </w:rPr>
              <w:t xml:space="preserve">identify_intra_without_index </w:t>
            </w:r>
            <w:r>
              <w:rPr>
                <w:rFonts w:hint="default" w:ascii="Times New Roman" w:hAnsi="Times New Roman" w:cs="Times New Roman"/>
                <w:sz w:val="20"/>
                <w:szCs w:val="20"/>
                <w:highlight w:val="green"/>
              </w:rPr>
              <w:t>= (T</w:t>
            </w:r>
            <w:r>
              <w:rPr>
                <w:rFonts w:hint="default" w:ascii="Times New Roman" w:hAnsi="Times New Roman" w:cs="Times New Roman"/>
                <w:sz w:val="20"/>
                <w:szCs w:val="20"/>
                <w:highlight w:val="green"/>
                <w:vertAlign w:val="subscript"/>
              </w:rPr>
              <w:t xml:space="preserve">PSS/SSS_sync_intra </w:t>
            </w:r>
            <w:r>
              <w:rPr>
                <w:rFonts w:hint="default" w:ascii="Times New Roman" w:hAnsi="Times New Roman" w:cs="Times New Roman"/>
                <w:sz w:val="20"/>
                <w:szCs w:val="20"/>
                <w:highlight w:val="green"/>
              </w:rPr>
              <w:t>+ T</w:t>
            </w:r>
            <w:r>
              <w:rPr>
                <w:rFonts w:hint="default" w:ascii="Times New Roman" w:hAnsi="Times New Roman" w:cs="Times New Roman"/>
                <w:sz w:val="20"/>
                <w:szCs w:val="20"/>
                <w:highlight w:val="green"/>
                <w:vertAlign w:val="subscript"/>
              </w:rPr>
              <w:t xml:space="preserve">SSB_measurement_period_intra </w:t>
            </w:r>
            <w:r>
              <w:rPr>
                <w:rFonts w:hint="default" w:ascii="Times New Roman" w:hAnsi="Times New Roman" w:cs="Times New Roman"/>
                <w:sz w:val="20"/>
                <w:szCs w:val="20"/>
                <w:highlight w:val="green"/>
              </w:rPr>
              <w:t>+T</w:t>
            </w:r>
            <w:r>
              <w:rPr>
                <w:rFonts w:hint="default" w:ascii="Times New Roman" w:hAnsi="Times New Roman" w:cs="Times New Roman"/>
                <w:sz w:val="20"/>
                <w:szCs w:val="20"/>
                <w:highlight w:val="green"/>
                <w:vertAlign w:val="subscript"/>
              </w:rPr>
              <w:t xml:space="preserve">SSB_processing) </w:t>
            </w:r>
            <w:r>
              <w:rPr>
                <w:rFonts w:hint="default" w:ascii="Times New Roman" w:hAnsi="Times New Roman" w:cs="Times New Roman"/>
                <w:sz w:val="20"/>
                <w:szCs w:val="20"/>
                <w:highlight w:val="green"/>
              </w:rPr>
              <w:t>ms</w:t>
            </w:r>
          </w:p>
          <w:p w14:paraId="3F3B4933">
            <w:pPr>
              <w:pStyle w:val="10"/>
              <w:numPr>
                <w:ilvl w:val="2"/>
                <w:numId w:val="8"/>
              </w:numPr>
              <w:overflowPunct/>
              <w:autoSpaceDE/>
              <w:autoSpaceDN/>
              <w:adjustRightInd/>
              <w:spacing w:before="180" w:after="180" w:line="259" w:lineRule="auto"/>
              <w:ind w:left="2084" w:firstLineChars="0"/>
              <w:contextualSpacing/>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T</w:t>
            </w:r>
            <w:r>
              <w:rPr>
                <w:rFonts w:hint="default" w:ascii="Times New Roman" w:hAnsi="Times New Roman" w:cs="Times New Roman"/>
                <w:sz w:val="20"/>
                <w:szCs w:val="20"/>
                <w:highlight w:val="green"/>
                <w:vertAlign w:val="subscript"/>
              </w:rPr>
              <w:t xml:space="preserve">identify_inter_without_index </w:t>
            </w:r>
            <w:r>
              <w:rPr>
                <w:rFonts w:hint="default" w:ascii="Times New Roman" w:hAnsi="Times New Roman" w:cs="Times New Roman"/>
                <w:sz w:val="20"/>
                <w:szCs w:val="20"/>
                <w:highlight w:val="green"/>
              </w:rPr>
              <w:t>= (T</w:t>
            </w:r>
            <w:r>
              <w:rPr>
                <w:rFonts w:hint="default" w:ascii="Times New Roman" w:hAnsi="Times New Roman" w:cs="Times New Roman"/>
                <w:sz w:val="20"/>
                <w:szCs w:val="20"/>
                <w:highlight w:val="green"/>
                <w:vertAlign w:val="subscript"/>
              </w:rPr>
              <w:t xml:space="preserve">PSS/SSS_sync_inter </w:t>
            </w:r>
            <w:r>
              <w:rPr>
                <w:rFonts w:hint="default" w:ascii="Times New Roman" w:hAnsi="Times New Roman" w:cs="Times New Roman"/>
                <w:sz w:val="20"/>
                <w:szCs w:val="20"/>
                <w:highlight w:val="green"/>
              </w:rPr>
              <w:t xml:space="preserve">+ T </w:t>
            </w:r>
            <w:r>
              <w:rPr>
                <w:rFonts w:hint="default" w:ascii="Times New Roman" w:hAnsi="Times New Roman" w:cs="Times New Roman"/>
                <w:sz w:val="20"/>
                <w:szCs w:val="20"/>
                <w:highlight w:val="green"/>
                <w:vertAlign w:val="subscript"/>
              </w:rPr>
              <w:t>SSB_measurement_pe riod_inter</w:t>
            </w:r>
            <w:r>
              <w:rPr>
                <w:rFonts w:hint="default" w:ascii="Times New Roman" w:hAnsi="Times New Roman" w:cs="Times New Roman"/>
                <w:sz w:val="20"/>
                <w:szCs w:val="20"/>
                <w:highlight w:val="green"/>
              </w:rPr>
              <w:t xml:space="preserve"> +T</w:t>
            </w:r>
            <w:r>
              <w:rPr>
                <w:rFonts w:hint="default" w:ascii="Times New Roman" w:hAnsi="Times New Roman" w:cs="Times New Roman"/>
                <w:sz w:val="20"/>
                <w:szCs w:val="20"/>
                <w:highlight w:val="green"/>
                <w:vertAlign w:val="subscript"/>
              </w:rPr>
              <w:t>SSB_processing</w:t>
            </w:r>
            <w:r>
              <w:rPr>
                <w:rFonts w:hint="default" w:ascii="Times New Roman" w:hAnsi="Times New Roman" w:cs="Times New Roman"/>
                <w:sz w:val="20"/>
                <w:szCs w:val="20"/>
                <w:highlight w:val="green"/>
              </w:rPr>
              <w:t>) ms</w:t>
            </w:r>
          </w:p>
          <w:p w14:paraId="60740E3B">
            <w:pPr>
              <w:pStyle w:val="10"/>
              <w:numPr>
                <w:ilvl w:val="2"/>
                <w:numId w:val="8"/>
              </w:numPr>
              <w:overflowPunct/>
              <w:autoSpaceDE/>
              <w:autoSpaceDN/>
              <w:adjustRightInd/>
              <w:spacing w:before="180" w:line="259" w:lineRule="auto"/>
              <w:ind w:left="2084" w:firstLineChars="0"/>
              <w:contextualSpacing/>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where T</w:t>
            </w:r>
            <w:r>
              <w:rPr>
                <w:rFonts w:hint="default" w:ascii="Times New Roman" w:hAnsi="Times New Roman" w:cs="Times New Roman"/>
                <w:sz w:val="20"/>
                <w:szCs w:val="20"/>
                <w:highlight w:val="green"/>
                <w:vertAlign w:val="subscript"/>
              </w:rPr>
              <w:t xml:space="preserve">SSB_processing </w:t>
            </w:r>
            <w:r>
              <w:rPr>
                <w:rFonts w:hint="default" w:ascii="Times New Roman" w:hAnsi="Times New Roman" w:cs="Times New Roman"/>
                <w:sz w:val="20"/>
                <w:szCs w:val="20"/>
                <w:highlight w:val="green"/>
              </w:rPr>
              <w:t>= 2 ms</w:t>
            </w:r>
          </w:p>
          <w:p w14:paraId="4C13223C">
            <w:pPr>
              <w:spacing w:after="12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15154006">
            <w:pPr>
              <w:pStyle w:val="10"/>
              <w:numPr>
                <w:ilvl w:val="0"/>
                <w:numId w:val="8"/>
              </w:numPr>
              <w:overflowPunct/>
              <w:autoSpaceDE/>
              <w:autoSpaceDN/>
              <w:adjustRightInd/>
              <w:spacing w:after="120"/>
              <w:ind w:left="644"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For scenario 7</w:t>
            </w:r>
          </w:p>
          <w:p w14:paraId="6B45F30E">
            <w:pPr>
              <w:pStyle w:val="10"/>
              <w:numPr>
                <w:ilvl w:val="1"/>
                <w:numId w:val="8"/>
              </w:numPr>
              <w:overflowPunct/>
              <w:autoSpaceDE/>
              <w:autoSpaceDN/>
              <w:adjustRightInd/>
              <w:spacing w:after="120"/>
              <w:ind w:left="1364"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to consider an additional processing delay (2ms) after the last SMTC periodicity</w:t>
            </w:r>
          </w:p>
          <w:p w14:paraId="38656256">
            <w:pPr>
              <w:pStyle w:val="10"/>
              <w:overflowPunct/>
              <w:autoSpaceDE/>
              <w:autoSpaceDN/>
              <w:adjustRightInd/>
              <w:spacing w:after="120"/>
              <w:ind w:left="1364" w:firstLine="0" w:firstLineChars="0"/>
              <w:textAlignment w:val="auto"/>
              <w:rPr>
                <w:rFonts w:hint="default" w:ascii="Times New Roman" w:hAnsi="Times New Roman" w:eastAsia="宋体" w:cs="Times New Roman"/>
                <w:sz w:val="20"/>
                <w:szCs w:val="20"/>
              </w:rPr>
            </w:pPr>
          </w:p>
          <w:p w14:paraId="5D0DC9DD">
            <w:pPr>
              <w:pStyle w:val="10"/>
              <w:overflowPunct/>
              <w:autoSpaceDE/>
              <w:autoSpaceDN/>
              <w:adjustRightInd/>
              <w:spacing w:after="120"/>
              <w:ind w:firstLine="0" w:firstLineChars="0"/>
              <w:textAlignment w:val="auto"/>
              <w:rPr>
                <w:rFonts w:hint="default" w:ascii="Times New Roman" w:hAnsi="Times New Roman" w:eastAsia="宋体" w:cs="Times New Roman"/>
                <w:sz w:val="20"/>
                <w:szCs w:val="20"/>
                <w:highlight w:val="yellow"/>
              </w:rPr>
            </w:pPr>
            <w:r>
              <w:rPr>
                <w:rFonts w:hint="default" w:ascii="Times New Roman" w:hAnsi="Times New Roman" w:eastAsia="宋体" w:cs="Times New Roman"/>
                <w:sz w:val="20"/>
                <w:szCs w:val="20"/>
                <w:highlight w:val="yellow"/>
              </w:rPr>
              <w:t>[Wayforward]</w:t>
            </w:r>
          </w:p>
          <w:p w14:paraId="3D6FFE69">
            <w:pPr>
              <w:pStyle w:val="10"/>
              <w:numPr>
                <w:ilvl w:val="0"/>
                <w:numId w:val="8"/>
              </w:numPr>
              <w:overflowPunct/>
              <w:autoSpaceDE/>
              <w:autoSpaceDN/>
              <w:adjustRightInd/>
              <w:spacing w:after="120"/>
              <w:ind w:left="644" w:firstLineChars="0"/>
              <w:textAlignment w:val="auto"/>
              <w:rPr>
                <w:rFonts w:hint="default" w:ascii="Times New Roman" w:hAnsi="Times New Roman" w:eastAsia="宋体" w:cs="Times New Roman"/>
                <w:sz w:val="20"/>
                <w:szCs w:val="20"/>
                <w:highlight w:val="yellow"/>
              </w:rPr>
            </w:pPr>
            <w:r>
              <w:rPr>
                <w:rFonts w:hint="default" w:ascii="Times New Roman" w:hAnsi="Times New Roman" w:eastAsia="宋体" w:cs="Times New Roman"/>
                <w:sz w:val="20"/>
                <w:szCs w:val="20"/>
                <w:highlight w:val="yellow"/>
              </w:rPr>
              <w:t>For scenario 5</w:t>
            </w:r>
          </w:p>
          <w:p w14:paraId="38FBF48F">
            <w:pPr>
              <w:pStyle w:val="10"/>
              <w:numPr>
                <w:ilvl w:val="1"/>
                <w:numId w:val="8"/>
              </w:numPr>
              <w:overflowPunct/>
              <w:autoSpaceDE/>
              <w:autoSpaceDN/>
              <w:adjustRightInd/>
              <w:spacing w:after="120"/>
              <w:ind w:left="1364" w:firstLineChars="0"/>
              <w:textAlignment w:val="auto"/>
              <w:rPr>
                <w:rFonts w:hint="default" w:ascii="Times New Roman" w:hAnsi="Times New Roman" w:eastAsia="宋体" w:cs="Times New Roman"/>
                <w:sz w:val="20"/>
                <w:szCs w:val="20"/>
                <w:highlight w:val="yellow"/>
              </w:rPr>
            </w:pPr>
            <w:r>
              <w:rPr>
                <w:rFonts w:hint="default" w:ascii="Times New Roman" w:hAnsi="Times New Roman" w:eastAsia="宋体" w:cs="Times New Roman"/>
                <w:sz w:val="20"/>
                <w:szCs w:val="20"/>
                <w:highlight w:val="yellow"/>
              </w:rPr>
              <w:t>FFS:</w:t>
            </w:r>
          </w:p>
          <w:p w14:paraId="0C7FC56F">
            <w:pPr>
              <w:pStyle w:val="10"/>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yellow"/>
              </w:rPr>
            </w:pPr>
            <w:r>
              <w:rPr>
                <w:rFonts w:hint="default" w:ascii="Times New Roman" w:hAnsi="Times New Roman" w:eastAsia="宋体" w:cs="Times New Roman"/>
                <w:sz w:val="20"/>
                <w:szCs w:val="20"/>
                <w:highlight w:val="yellow"/>
              </w:rPr>
              <w:t>Option 1: to consider an additional processing delay (2ms) in the handover delay equation</w:t>
            </w:r>
          </w:p>
          <w:p w14:paraId="1CC5EB26">
            <w:pPr>
              <w:pStyle w:val="10"/>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yellow"/>
              </w:rPr>
            </w:pPr>
            <w:r>
              <w:rPr>
                <w:rFonts w:hint="default" w:ascii="Times New Roman" w:hAnsi="Times New Roman" w:eastAsia="宋体" w:cs="Times New Roman"/>
                <w:sz w:val="20"/>
                <w:szCs w:val="20"/>
                <w:highlight w:val="yellow"/>
              </w:rPr>
              <w:t>Option 2: In the handover delay equation, SSB processing time (2ms) can be scaled by the number of RX beams that UE employs to simultaneously receive signals from multiple directions.</w:t>
            </w:r>
          </w:p>
          <w:p w14:paraId="66D99EAB">
            <w:pPr>
              <w:pStyle w:val="10"/>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highlight w:val="yellow"/>
              </w:rPr>
              <w:t>Option 3: no need to add additional processing time in the delay requirement.</w:t>
            </w:r>
          </w:p>
        </w:tc>
      </w:tr>
    </w:tbl>
    <w:p w14:paraId="1A8022C2">
      <w:pPr>
        <w:spacing w:after="180" w:line="240" w:lineRule="exact"/>
        <w:rPr>
          <w:rFonts w:hint="eastAsia" w:ascii="Times New Roman" w:hAnsi="Times New Roman" w:eastAsia="宋体" w:cs="Times New Roman"/>
          <w:sz w:val="20"/>
          <w:szCs w:val="20"/>
          <w:lang w:val="en-US" w:eastAsia="zh-CN"/>
        </w:rPr>
      </w:pPr>
    </w:p>
    <w:p w14:paraId="4ACF3828">
      <w:pPr>
        <w:spacing w:after="180" w:line="240" w:lineRule="exact"/>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S</w:t>
      </w:r>
      <w:r>
        <w:rPr>
          <w:rFonts w:hint="default" w:ascii="Times New Roman" w:hAnsi="Times New Roman" w:eastAsia="宋体" w:cs="Times New Roman"/>
          <w:sz w:val="20"/>
          <w:szCs w:val="20"/>
          <w:highlight w:val="none"/>
        </w:rPr>
        <w:t>cenario 1/2/3/4</w:t>
      </w:r>
      <w:r>
        <w:rPr>
          <w:rFonts w:hint="eastAsia" w:ascii="Times New Roman" w:hAnsi="Times New Roman" w:cs="Times New Roman"/>
          <w:sz w:val="20"/>
          <w:szCs w:val="20"/>
          <w:highlight w:val="none"/>
          <w:lang w:val="en-US" w:eastAsia="zh-CN"/>
        </w:rPr>
        <w:t xml:space="preserve"> is about SSB based intra-frequency/inter-frequency measurement with/without MG. S</w:t>
      </w:r>
      <w:r>
        <w:rPr>
          <w:rFonts w:hint="default" w:ascii="Times New Roman" w:hAnsi="Times New Roman" w:eastAsia="宋体" w:cs="Times New Roman"/>
          <w:sz w:val="20"/>
          <w:szCs w:val="20"/>
          <w:highlight w:val="none"/>
        </w:rPr>
        <w:t>cenario</w:t>
      </w:r>
      <w:r>
        <w:rPr>
          <w:rFonts w:hint="eastAsia" w:ascii="Times New Roman" w:hAnsi="Times New Roman" w:cs="Times New Roman"/>
          <w:sz w:val="20"/>
          <w:szCs w:val="20"/>
          <w:highlight w:val="none"/>
          <w:lang w:val="en-US" w:eastAsia="zh-CN"/>
        </w:rPr>
        <w:t xml:space="preserve"> 5 is about handover and scenario 7 is about RRC Re-establishment/RRC Connection Release with Redirection. The reason to have additional processing time is that UE may not be able to process SSBs from different directions (i.e. from different cells with multi-RX) simultaneously, especially for the case that measurement starts from the end of SMTC occasion (i.e. SMTC window is at the very end of the periodicity).</w:t>
      </w:r>
    </w:p>
    <w:p w14:paraId="5D5768AE">
      <w:pPr>
        <w:spacing w:after="180" w:line="240" w:lineRule="exact"/>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For scenario 5, we do not think additional processing time is needed since the SSB post-processing time is already considered in exsiting requirements. For handover, the interruption time is the time between end of the last TTI containing the RRC command on the old PDSCH and the time the UE starts transmission of the new PRACH, excluding the RRC procedure delay. Taking NR FR1 - NR FR1 Handover as an example,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interrupt</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search</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IU</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lang w:eastAsia="zh-CN"/>
        </w:rPr>
        <w:t>processing</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vertAlign w:val="subscript"/>
          <w:lang w:eastAsia="zh-CN"/>
        </w:rPr>
        <w:t xml:space="preserve">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 xml:space="preserve">margin </w:t>
      </w:r>
      <w:r>
        <w:rPr>
          <w:rFonts w:hint="default" w:ascii="Times New Roman" w:hAnsi="Times New Roman" w:cs="Times New Roman"/>
          <w:sz w:val="20"/>
          <w:szCs w:val="20"/>
        </w:rPr>
        <w:t>ms</w:t>
      </w:r>
      <w:r>
        <w:rPr>
          <w:rFonts w:hint="default" w:ascii="Times New Roman" w:hAnsi="Times New Roman" w:cs="Times New Roman"/>
          <w:sz w:val="20"/>
          <w:szCs w:val="20"/>
          <w:lang w:val="en-US" w:eastAsia="zh-CN"/>
        </w:rPr>
        <w:t xml:space="preserve">, where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margin </w:t>
      </w:r>
      <w:r>
        <w:rPr>
          <w:rFonts w:hint="default" w:ascii="Times New Roman" w:hAnsi="Times New Roman" w:cs="Times New Roman"/>
          <w:sz w:val="20"/>
          <w:szCs w:val="20"/>
          <w:lang w:eastAsia="zh-CN"/>
        </w:rPr>
        <w:t>is time for SSB post-processing</w:t>
      </w:r>
      <w:r>
        <w:rPr>
          <w:rFonts w:hint="default" w:ascii="Times New Roman" w:hAnsi="Times New Roman" w:cs="Times New Roman"/>
          <w:sz w:val="20"/>
          <w:szCs w:val="20"/>
          <w:lang w:val="en-US" w:eastAsia="zh-CN"/>
        </w:rPr>
        <w:t xml:space="preserve"> and</w:t>
      </w:r>
      <w:r>
        <w:rPr>
          <w:rFonts w:hint="default" w:ascii="Times New Roman" w:hAnsi="Times New Roman" w:cs="Times New Roman"/>
          <w:sz w:val="20"/>
          <w:szCs w:val="20"/>
          <w:lang w:eastAsia="zh-CN"/>
        </w:rPr>
        <w:t xml:space="preserve"> T</w:t>
      </w:r>
      <w:r>
        <w:rPr>
          <w:rFonts w:hint="default" w:ascii="Times New Roman" w:hAnsi="Times New Roman" w:cs="Times New Roman"/>
          <w:sz w:val="20"/>
          <w:szCs w:val="20"/>
          <w:vertAlign w:val="subscript"/>
          <w:lang w:eastAsia="zh-CN"/>
        </w:rPr>
        <w:t xml:space="preserve">margin </w:t>
      </w:r>
      <w:r>
        <w:rPr>
          <w:rFonts w:hint="default" w:ascii="Times New Roman" w:hAnsi="Times New Roman" w:cs="Times New Roman"/>
          <w:sz w:val="20"/>
          <w:szCs w:val="20"/>
          <w:lang w:eastAsia="zh-CN"/>
        </w:rPr>
        <w:t>can be up to 2ms.</w:t>
      </w:r>
      <w:r>
        <w:rPr>
          <w:rFonts w:hint="eastAsia" w:ascii="Times New Roman" w:hAnsi="Times New Roman" w:cs="Times New Roman"/>
          <w:sz w:val="20"/>
          <w:szCs w:val="20"/>
          <w:lang w:val="en-US" w:eastAsia="zh-CN"/>
        </w:rPr>
        <w:t xml:space="preserve"> Since the addional processing time due to that </w:t>
      </w:r>
      <w:r>
        <w:rPr>
          <w:rFonts w:hint="eastAsia" w:ascii="Times New Roman" w:hAnsi="Times New Roman" w:cs="Times New Roman"/>
          <w:sz w:val="20"/>
          <w:szCs w:val="20"/>
          <w:highlight w:val="none"/>
          <w:lang w:val="en-US" w:eastAsia="zh-CN"/>
        </w:rPr>
        <w:t>SMTC window is at the very end of the periodicity is already considered, no need to have additional processing time for handover.</w:t>
      </w:r>
    </w:p>
    <w:p w14:paraId="454DE345">
      <w:pPr>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2: for scenario 5, </w:t>
      </w:r>
      <w:r>
        <w:rPr>
          <w:rFonts w:hint="default" w:ascii="Times New Roman" w:hAnsi="Times New Roman" w:eastAsia="宋体" w:cs="Times New Roman"/>
          <w:b/>
          <w:bCs/>
          <w:i/>
          <w:iCs/>
          <w:sz w:val="20"/>
          <w:szCs w:val="20"/>
          <w:highlight w:val="none"/>
        </w:rPr>
        <w:t>no need to add additional processing time in the delay requirement</w:t>
      </w:r>
      <w:r>
        <w:rPr>
          <w:rFonts w:hint="eastAsia" w:ascii="Times New Roman" w:hAnsi="Times New Roman" w:cs="Times New Roman"/>
          <w:b/>
          <w:bCs/>
          <w:i/>
          <w:iCs/>
          <w:sz w:val="20"/>
          <w:szCs w:val="20"/>
          <w:highlight w:val="none"/>
          <w:lang w:val="en-US" w:eastAsia="zh-CN"/>
        </w:rPr>
        <w:t xml:space="preserve">, since the </w:t>
      </w:r>
      <w:r>
        <w:rPr>
          <w:rFonts w:hint="default" w:ascii="Times New Roman" w:hAnsi="Times New Roman" w:cs="Times New Roman"/>
          <w:b/>
          <w:bCs/>
          <w:i/>
          <w:iCs/>
          <w:sz w:val="20"/>
          <w:szCs w:val="20"/>
          <w:highlight w:val="none"/>
          <w:lang w:eastAsia="zh-CN"/>
        </w:rPr>
        <w:t>time for SSB post-processing</w:t>
      </w:r>
      <w:r>
        <w:rPr>
          <w:rFonts w:hint="default" w:ascii="Times New Roman" w:hAnsi="Times New Roman" w:cs="Times New Roman"/>
          <w:b/>
          <w:bCs/>
          <w:i/>
          <w:iCs/>
          <w:sz w:val="20"/>
          <w:szCs w:val="20"/>
          <w:highlight w:val="none"/>
          <w:lang w:val="en-US" w:eastAsia="zh-CN"/>
        </w:rPr>
        <w:t xml:space="preserve"> </w:t>
      </w:r>
      <w:r>
        <w:rPr>
          <w:rFonts w:hint="eastAsia" w:ascii="Times New Roman" w:hAnsi="Times New Roman" w:cs="Times New Roman"/>
          <w:b/>
          <w:bCs/>
          <w:i/>
          <w:iCs/>
          <w:sz w:val="20"/>
          <w:szCs w:val="20"/>
          <w:highlight w:val="none"/>
          <w:lang w:val="en-US" w:eastAsia="zh-CN"/>
        </w:rPr>
        <w:t>(</w:t>
      </w:r>
      <w:r>
        <w:rPr>
          <w:rFonts w:hint="default" w:ascii="Times New Roman" w:hAnsi="Times New Roman" w:cs="Times New Roman"/>
          <w:b/>
          <w:bCs/>
          <w:i/>
          <w:iCs/>
          <w:sz w:val="20"/>
          <w:szCs w:val="20"/>
          <w:highlight w:val="none"/>
          <w:lang w:eastAsia="zh-CN"/>
        </w:rPr>
        <w:t>T</w:t>
      </w:r>
      <w:r>
        <w:rPr>
          <w:rFonts w:hint="default" w:ascii="Times New Roman" w:hAnsi="Times New Roman" w:cs="Times New Roman"/>
          <w:b/>
          <w:bCs/>
          <w:i/>
          <w:iCs/>
          <w:sz w:val="20"/>
          <w:szCs w:val="20"/>
          <w:highlight w:val="none"/>
          <w:vertAlign w:val="subscript"/>
          <w:lang w:eastAsia="zh-CN"/>
        </w:rPr>
        <w:t xml:space="preserve">margin </w:t>
      </w:r>
      <w:r>
        <w:rPr>
          <w:rFonts w:hint="eastAsia" w:ascii="Times New Roman" w:hAnsi="Times New Roman" w:cs="Times New Roman"/>
          <w:b/>
          <w:bCs/>
          <w:i/>
          <w:iCs/>
          <w:sz w:val="20"/>
          <w:szCs w:val="20"/>
          <w:highlight w:val="none"/>
          <w:vertAlign w:val="subscript"/>
          <w:lang w:val="en-US" w:eastAsia="zh-CN"/>
        </w:rPr>
        <w:t xml:space="preserve">, </w:t>
      </w:r>
      <w:r>
        <w:rPr>
          <w:rFonts w:hint="eastAsia" w:ascii="Times New Roman" w:hAnsi="Times New Roman" w:cs="Times New Roman"/>
          <w:b/>
          <w:bCs/>
          <w:i/>
          <w:iCs/>
          <w:sz w:val="20"/>
          <w:szCs w:val="20"/>
          <w:highlight w:val="none"/>
          <w:vertAlign w:val="baseline"/>
          <w:lang w:val="en-US" w:eastAsia="zh-CN"/>
        </w:rPr>
        <w:t xml:space="preserve">which </w:t>
      </w:r>
      <w:r>
        <w:rPr>
          <w:rFonts w:hint="default" w:ascii="Times New Roman" w:hAnsi="Times New Roman" w:cs="Times New Roman"/>
          <w:b/>
          <w:bCs/>
          <w:i/>
          <w:iCs/>
          <w:sz w:val="20"/>
          <w:szCs w:val="20"/>
          <w:highlight w:val="none"/>
          <w:lang w:eastAsia="zh-CN"/>
        </w:rPr>
        <w:t>can be up to 2ms</w:t>
      </w:r>
      <w:r>
        <w:rPr>
          <w:rFonts w:hint="eastAsia" w:ascii="Times New Roman" w:hAnsi="Times New Roman" w:cs="Times New Roman"/>
          <w:b/>
          <w:bCs/>
          <w:i/>
          <w:iCs/>
          <w:sz w:val="20"/>
          <w:szCs w:val="20"/>
          <w:highlight w:val="none"/>
          <w:lang w:val="en-US" w:eastAsia="zh-CN"/>
        </w:rPr>
        <w:t>) is already considered in the handover interruption requirements</w:t>
      </w:r>
      <w:r>
        <w:rPr>
          <w:rFonts w:hint="default" w:ascii="Times New Roman" w:hAnsi="Times New Roman" w:cs="Times New Roman"/>
          <w:b/>
          <w:bCs/>
          <w:i/>
          <w:iCs/>
          <w:sz w:val="20"/>
          <w:szCs w:val="20"/>
          <w:highlight w:val="none"/>
          <w:lang w:eastAsia="zh-CN"/>
        </w:rPr>
        <w:t>.</w:t>
      </w:r>
      <w:r>
        <w:rPr>
          <w:rFonts w:hint="eastAsia" w:ascii="Times New Roman" w:hAnsi="Times New Roman" w:cs="Times New Roman"/>
          <w:b/>
          <w:bCs/>
          <w:i/>
          <w:iCs/>
          <w:sz w:val="20"/>
          <w:szCs w:val="20"/>
          <w:highlight w:val="none"/>
          <w:lang w:val="en-US" w:eastAsia="zh-C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9021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CCC25A4">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Issue 1-2-1: Solutions to apply/specify L3 measurement delay reduction by optimizing Rx BSF</w:t>
            </w:r>
          </w:p>
          <w:p w14:paraId="2ECCCED5">
            <w:pPr>
              <w:rPr>
                <w:rFonts w:hint="default" w:ascii="Times New Roman" w:hAnsi="Times New Roman" w:cs="Times New Roman"/>
                <w:b/>
                <w:color w:val="0070C0"/>
                <w:sz w:val="20"/>
                <w:szCs w:val="20"/>
                <w:u w:val="single"/>
                <w:lang w:eastAsia="ko-KR"/>
              </w:rPr>
            </w:pPr>
          </w:p>
          <w:p w14:paraId="20766749">
            <w:pPr>
              <w:rPr>
                <w:rFonts w:hint="default" w:ascii="Times New Roman" w:hAnsi="Times New Roman" w:cs="Times New Roman"/>
                <w:bCs/>
                <w:sz w:val="20"/>
                <w:szCs w:val="20"/>
                <w:highlight w:val="green"/>
                <w:lang w:eastAsia="ko-KR"/>
              </w:rPr>
            </w:pPr>
            <w:r>
              <w:rPr>
                <w:rFonts w:hint="default" w:ascii="Times New Roman" w:hAnsi="Times New Roman" w:cs="Times New Roman"/>
                <w:bCs/>
                <w:sz w:val="20"/>
                <w:szCs w:val="20"/>
                <w:highlight w:val="green"/>
                <w:lang w:eastAsia="ko-KR"/>
              </w:rPr>
              <w:t>Agreement:</w:t>
            </w:r>
          </w:p>
          <w:p w14:paraId="7380A133">
            <w:pPr>
              <w:rPr>
                <w:rFonts w:hint="default" w:ascii="Times New Roman" w:hAnsi="Times New Roman" w:cs="Times New Roman"/>
                <w:bCs/>
                <w:sz w:val="20"/>
                <w:szCs w:val="20"/>
                <w:highlight w:val="green"/>
                <w:lang w:eastAsia="ko-KR"/>
              </w:rPr>
            </w:pPr>
          </w:p>
          <w:p w14:paraId="79651117">
            <w:pPr>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highlight w:val="green"/>
              </w:rPr>
              <w:t>For UE supporting Multi-Rx operation for L3 measurement, the Rx BSF can be reduced according to the UE capability:</w:t>
            </w:r>
          </w:p>
          <w:p w14:paraId="354D9AB0">
            <w:pPr>
              <w:pStyle w:val="10"/>
              <w:numPr>
                <w:ilvl w:val="0"/>
                <w:numId w:val="9"/>
              </w:numPr>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FFS: details of the capability</w:t>
            </w:r>
          </w:p>
          <w:p w14:paraId="3AA3F01F">
            <w:pPr>
              <w:spacing w:after="180" w:line="240" w:lineRule="exact"/>
              <w:rPr>
                <w:rFonts w:hint="default" w:ascii="Times New Roman" w:hAnsi="Times New Roman" w:eastAsia="宋体" w:cs="Times New Roman"/>
                <w:sz w:val="20"/>
                <w:szCs w:val="20"/>
                <w:vertAlign w:val="baseline"/>
                <w:lang w:val="en-US" w:eastAsia="zh-CN"/>
              </w:rPr>
            </w:pPr>
          </w:p>
        </w:tc>
      </w:tr>
    </w:tbl>
    <w:p w14:paraId="12C4FA45">
      <w:pPr>
        <w:spacing w:after="180" w:line="240" w:lineRule="exact"/>
        <w:rPr>
          <w:rFonts w:hint="eastAsia" w:ascii="Times New Roman" w:hAnsi="Times New Roman" w:eastAsia="宋体" w:cs="Times New Roman"/>
          <w:sz w:val="20"/>
          <w:szCs w:val="20"/>
          <w:lang w:val="en-US" w:eastAsia="zh-CN"/>
        </w:rPr>
      </w:pPr>
    </w:p>
    <w:p w14:paraId="56C6745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Rel-18 </w:t>
      </w:r>
      <w:r>
        <w:rPr>
          <w:rFonts w:ascii="Times New Roman" w:hAnsi="Times New Roman"/>
          <w:sz w:val="20"/>
          <w:szCs w:val="20"/>
        </w:rPr>
        <w:t>multi-Rx chain WI</w:t>
      </w:r>
      <w:r>
        <w:rPr>
          <w:rFonts w:hint="eastAsia" w:ascii="Times New Roman" w:hAnsi="Times New Roman"/>
          <w:sz w:val="20"/>
          <w:szCs w:val="20"/>
          <w:lang w:val="en-US" w:eastAsia="zh-CN"/>
        </w:rPr>
        <w:t xml:space="preserve"> mainly focus on the L1 related measurement. According to the discussion in Rel-18 </w:t>
      </w:r>
      <w:r>
        <w:rPr>
          <w:rFonts w:ascii="Times New Roman" w:hAnsi="Times New Roman"/>
          <w:sz w:val="20"/>
          <w:szCs w:val="20"/>
        </w:rPr>
        <w:t>multi-Rx chain WI</w:t>
      </w:r>
      <w:r>
        <w:rPr>
          <w:rFonts w:hint="eastAsia" w:ascii="Times New Roman" w:hAnsi="Times New Roman"/>
          <w:sz w:val="20"/>
          <w:szCs w:val="20"/>
          <w:lang w:val="en-US" w:eastAsia="zh-CN"/>
        </w:rPr>
        <w:t>, it was agreed to introduce reduced beam sweeping factor for SSB-based L1-RSRP measurement if the UE is capable of multi-Rx operation, which are applied to L1-RSRP/RLM/BFD. The candidate values for reduced beam sweeping factor are: {2,4,6} for FR2-1. In our view, for UE capable of multi-Rx operation, we do not see issues to extend the Rel-18 RX beam sweeping factor reduction to L3 measurement. It is proposed to reduce L3 measurement delay by reducing RX beam sweeping factor, and the Rel-18 RX beam sweeping factor reduction can be used as baseline.</w:t>
      </w:r>
    </w:p>
    <w:p w14:paraId="66CCACF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As for the detail about how to reflect the reduction of measurement delay, one solution is that UE report the reduced RX beam sweeping factor directly, the other solution is that UE report M values which is used in the legacy measurement delay requirements. </w:t>
      </w:r>
    </w:p>
    <w:p w14:paraId="292834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If we look at the legacy L3 delay requirements, BSF is relected by the value of M. M is related with the number of samples and BSF. However, the number of samples are differeent for different cases, for example, the sample number is 5 for intra-frequency measurement and 8 for inter-frequency measurement. If we go wih the solution of reporting M values, there are will be more candidate valus, and we may also need to differentiate which values are for intra-frequency measurement and which values are for inter-frequency measurement. If we go with solution of reporting BSF, we can simply update the M value in the spec. </w:t>
      </w:r>
    </w:p>
    <w:p w14:paraId="45D8D7C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 xml:space="preserve">Proposal 3: compared with reporting the M values, </w:t>
      </w:r>
      <w:r>
        <w:rPr>
          <w:rFonts w:hint="eastAsia" w:ascii="Times New Roman" w:hAnsi="Times New Roman" w:eastAsia="宋体" w:cs="Times New Roman"/>
          <w:b/>
          <w:bCs/>
          <w:i/>
          <w:iCs/>
          <w:sz w:val="20"/>
          <w:szCs w:val="20"/>
          <w:lang w:val="en-US" w:eastAsia="zh-CN"/>
        </w:rPr>
        <w:t xml:space="preserve">it is proposed to reduce L3 measurement delay by </w:t>
      </w:r>
      <w:r>
        <w:rPr>
          <w:rFonts w:hint="eastAsia" w:ascii="Times New Roman" w:hAnsi="Times New Roman" w:cs="Times New Roman"/>
          <w:b/>
          <w:bCs/>
          <w:i/>
          <w:iCs/>
          <w:sz w:val="20"/>
          <w:szCs w:val="20"/>
          <w:lang w:val="en-US" w:eastAsia="zh-CN"/>
        </w:rPr>
        <w:t>reporting the reduced</w:t>
      </w:r>
      <w:r>
        <w:rPr>
          <w:rFonts w:hint="eastAsia" w:ascii="Times New Roman" w:hAnsi="Times New Roman" w:eastAsia="宋体" w:cs="Times New Roman"/>
          <w:b/>
          <w:bCs/>
          <w:i/>
          <w:iCs/>
          <w:sz w:val="20"/>
          <w:szCs w:val="20"/>
          <w:lang w:val="en-US" w:eastAsia="zh-CN"/>
        </w:rPr>
        <w:t xml:space="preserve"> RX beam sweeping factor, and the Rel-18 RX beam sweeping factor reduction, i.e. N= </w:t>
      </w:r>
      <w:r>
        <w:rPr>
          <w:rFonts w:hint="eastAsia" w:ascii="Times New Roman" w:hAnsi="Times New Roman"/>
          <w:b/>
          <w:bCs/>
          <w:i/>
          <w:iCs/>
          <w:sz w:val="20"/>
          <w:szCs w:val="20"/>
          <w:lang w:val="en-US" w:eastAsia="zh-CN"/>
        </w:rPr>
        <w:t xml:space="preserve">{2,4,6}, </w:t>
      </w:r>
      <w:r>
        <w:rPr>
          <w:rFonts w:hint="eastAsia" w:ascii="Times New Roman" w:hAnsi="Times New Roman" w:eastAsia="宋体" w:cs="Times New Roman"/>
          <w:b/>
          <w:bCs/>
          <w:i/>
          <w:iCs/>
          <w:sz w:val="20"/>
          <w:szCs w:val="20"/>
          <w:lang w:val="en-US" w:eastAsia="zh-CN"/>
        </w:rPr>
        <w:t>can be used as baseline.</w:t>
      </w:r>
    </w:p>
    <w:bookmarkEnd w:id="6"/>
    <w:bookmarkEnd w:id="7"/>
    <w:p w14:paraId="39D7CB0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799D19">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Rx beam sweeping factor. The proposals are:</w:t>
      </w:r>
    </w:p>
    <w:p w14:paraId="64CEE619">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not preferred to allow UE quit multi-Rx for L3 measurement autonomously.</w:t>
      </w:r>
    </w:p>
    <w:p w14:paraId="54C6CF71">
      <w:pPr>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2: for scenario 5, </w:t>
      </w:r>
      <w:r>
        <w:rPr>
          <w:rFonts w:hint="default" w:ascii="Times New Roman" w:hAnsi="Times New Roman" w:eastAsia="宋体" w:cs="Times New Roman"/>
          <w:b/>
          <w:bCs/>
          <w:i/>
          <w:iCs/>
          <w:sz w:val="20"/>
          <w:szCs w:val="20"/>
          <w:highlight w:val="none"/>
        </w:rPr>
        <w:t>no need to add additional processing time in the delay requirement</w:t>
      </w:r>
      <w:r>
        <w:rPr>
          <w:rFonts w:hint="eastAsia" w:ascii="Times New Roman" w:hAnsi="Times New Roman" w:cs="Times New Roman"/>
          <w:b/>
          <w:bCs/>
          <w:i/>
          <w:iCs/>
          <w:sz w:val="20"/>
          <w:szCs w:val="20"/>
          <w:highlight w:val="none"/>
          <w:lang w:val="en-US" w:eastAsia="zh-CN"/>
        </w:rPr>
        <w:t xml:space="preserve">, since the </w:t>
      </w:r>
      <w:r>
        <w:rPr>
          <w:rFonts w:hint="default" w:ascii="Times New Roman" w:hAnsi="Times New Roman" w:cs="Times New Roman"/>
          <w:b/>
          <w:bCs/>
          <w:i/>
          <w:iCs/>
          <w:sz w:val="20"/>
          <w:szCs w:val="20"/>
          <w:highlight w:val="none"/>
          <w:lang w:eastAsia="zh-CN"/>
        </w:rPr>
        <w:t>time for SSB post-processing</w:t>
      </w:r>
      <w:r>
        <w:rPr>
          <w:rFonts w:hint="default" w:ascii="Times New Roman" w:hAnsi="Times New Roman" w:cs="Times New Roman"/>
          <w:b/>
          <w:bCs/>
          <w:i/>
          <w:iCs/>
          <w:sz w:val="20"/>
          <w:szCs w:val="20"/>
          <w:highlight w:val="none"/>
          <w:lang w:val="en-US" w:eastAsia="zh-CN"/>
        </w:rPr>
        <w:t xml:space="preserve"> </w:t>
      </w:r>
      <w:r>
        <w:rPr>
          <w:rFonts w:hint="eastAsia" w:ascii="Times New Roman" w:hAnsi="Times New Roman" w:cs="Times New Roman"/>
          <w:b/>
          <w:bCs/>
          <w:i/>
          <w:iCs/>
          <w:sz w:val="20"/>
          <w:szCs w:val="20"/>
          <w:highlight w:val="none"/>
          <w:lang w:val="en-US" w:eastAsia="zh-CN"/>
        </w:rPr>
        <w:t>(</w:t>
      </w:r>
      <w:r>
        <w:rPr>
          <w:rFonts w:hint="default" w:ascii="Times New Roman" w:hAnsi="Times New Roman" w:cs="Times New Roman"/>
          <w:b/>
          <w:bCs/>
          <w:i/>
          <w:iCs/>
          <w:sz w:val="20"/>
          <w:szCs w:val="20"/>
          <w:highlight w:val="none"/>
          <w:lang w:eastAsia="zh-CN"/>
        </w:rPr>
        <w:t>T</w:t>
      </w:r>
      <w:r>
        <w:rPr>
          <w:rFonts w:hint="default" w:ascii="Times New Roman" w:hAnsi="Times New Roman" w:cs="Times New Roman"/>
          <w:b/>
          <w:bCs/>
          <w:i/>
          <w:iCs/>
          <w:sz w:val="20"/>
          <w:szCs w:val="20"/>
          <w:highlight w:val="none"/>
          <w:vertAlign w:val="subscript"/>
          <w:lang w:eastAsia="zh-CN"/>
        </w:rPr>
        <w:t xml:space="preserve">margin </w:t>
      </w:r>
      <w:r>
        <w:rPr>
          <w:rFonts w:hint="eastAsia" w:ascii="Times New Roman" w:hAnsi="Times New Roman" w:cs="Times New Roman"/>
          <w:b/>
          <w:bCs/>
          <w:i/>
          <w:iCs/>
          <w:sz w:val="20"/>
          <w:szCs w:val="20"/>
          <w:highlight w:val="none"/>
          <w:vertAlign w:val="subscript"/>
          <w:lang w:val="en-US" w:eastAsia="zh-CN"/>
        </w:rPr>
        <w:t xml:space="preserve">, </w:t>
      </w:r>
      <w:r>
        <w:rPr>
          <w:rFonts w:hint="eastAsia" w:ascii="Times New Roman" w:hAnsi="Times New Roman" w:cs="Times New Roman"/>
          <w:b/>
          <w:bCs/>
          <w:i/>
          <w:iCs/>
          <w:sz w:val="20"/>
          <w:szCs w:val="20"/>
          <w:highlight w:val="none"/>
          <w:vertAlign w:val="baseline"/>
          <w:lang w:val="en-US" w:eastAsia="zh-CN"/>
        </w:rPr>
        <w:t xml:space="preserve">which </w:t>
      </w:r>
      <w:r>
        <w:rPr>
          <w:rFonts w:hint="default" w:ascii="Times New Roman" w:hAnsi="Times New Roman" w:cs="Times New Roman"/>
          <w:b/>
          <w:bCs/>
          <w:i/>
          <w:iCs/>
          <w:sz w:val="20"/>
          <w:szCs w:val="20"/>
          <w:highlight w:val="none"/>
          <w:lang w:eastAsia="zh-CN"/>
        </w:rPr>
        <w:t>can be up to 2ms</w:t>
      </w:r>
      <w:r>
        <w:rPr>
          <w:rFonts w:hint="eastAsia" w:ascii="Times New Roman" w:hAnsi="Times New Roman" w:cs="Times New Roman"/>
          <w:b/>
          <w:bCs/>
          <w:i/>
          <w:iCs/>
          <w:sz w:val="20"/>
          <w:szCs w:val="20"/>
          <w:highlight w:val="none"/>
          <w:lang w:val="en-US" w:eastAsia="zh-CN"/>
        </w:rPr>
        <w:t>) is already considered in the handover interruption requirements</w:t>
      </w:r>
      <w:r>
        <w:rPr>
          <w:rFonts w:hint="default" w:ascii="Times New Roman" w:hAnsi="Times New Roman" w:cs="Times New Roman"/>
          <w:b/>
          <w:bCs/>
          <w:i/>
          <w:iCs/>
          <w:sz w:val="20"/>
          <w:szCs w:val="20"/>
          <w:highlight w:val="none"/>
          <w:lang w:eastAsia="zh-CN"/>
        </w:rPr>
        <w:t>.</w:t>
      </w:r>
      <w:r>
        <w:rPr>
          <w:rFonts w:hint="eastAsia" w:ascii="Times New Roman" w:hAnsi="Times New Roman" w:cs="Times New Roman"/>
          <w:b/>
          <w:bCs/>
          <w:i/>
          <w:iCs/>
          <w:sz w:val="20"/>
          <w:szCs w:val="20"/>
          <w:highlight w:val="none"/>
          <w:lang w:val="en-US" w:eastAsia="zh-CN"/>
        </w:rPr>
        <w:t xml:space="preserve">   </w:t>
      </w:r>
    </w:p>
    <w:p w14:paraId="5EE2E2E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3: compared with reporting the M values, </w:t>
      </w:r>
      <w:r>
        <w:rPr>
          <w:rFonts w:hint="eastAsia" w:ascii="Times New Roman" w:hAnsi="Times New Roman" w:eastAsia="宋体" w:cs="Times New Roman"/>
          <w:b/>
          <w:bCs/>
          <w:i/>
          <w:iCs/>
          <w:sz w:val="20"/>
          <w:szCs w:val="20"/>
          <w:lang w:val="en-US" w:eastAsia="zh-CN"/>
        </w:rPr>
        <w:t xml:space="preserve">it is proposed to reduce L3 measurement delay by </w:t>
      </w:r>
      <w:r>
        <w:rPr>
          <w:rFonts w:hint="eastAsia" w:ascii="Times New Roman" w:hAnsi="Times New Roman" w:cs="Times New Roman"/>
          <w:b/>
          <w:bCs/>
          <w:i/>
          <w:iCs/>
          <w:sz w:val="20"/>
          <w:szCs w:val="20"/>
          <w:lang w:val="en-US" w:eastAsia="zh-CN"/>
        </w:rPr>
        <w:t>reporting the reduced</w:t>
      </w:r>
      <w:r>
        <w:rPr>
          <w:rFonts w:hint="eastAsia" w:ascii="Times New Roman" w:hAnsi="Times New Roman" w:eastAsia="宋体" w:cs="Times New Roman"/>
          <w:b/>
          <w:bCs/>
          <w:i/>
          <w:iCs/>
          <w:sz w:val="20"/>
          <w:szCs w:val="20"/>
          <w:lang w:val="en-US" w:eastAsia="zh-CN"/>
        </w:rPr>
        <w:t xml:space="preserve"> RX beam sweeping factor, and the Rel-18 RX beam sweeping factor reduction, i.e. N= </w:t>
      </w:r>
      <w:r>
        <w:rPr>
          <w:rFonts w:hint="eastAsia" w:ascii="Times New Roman" w:hAnsi="Times New Roman"/>
          <w:b/>
          <w:bCs/>
          <w:i/>
          <w:iCs/>
          <w:sz w:val="20"/>
          <w:szCs w:val="20"/>
          <w:lang w:val="en-US" w:eastAsia="zh-CN"/>
        </w:rPr>
        <w:t xml:space="preserve">{2,4,6}, </w:t>
      </w:r>
      <w:r>
        <w:rPr>
          <w:rFonts w:hint="eastAsia" w:ascii="Times New Roman" w:hAnsi="Times New Roman" w:eastAsia="宋体" w:cs="Times New Roman"/>
          <w:b/>
          <w:bCs/>
          <w:i/>
          <w:iCs/>
          <w:sz w:val="20"/>
          <w:szCs w:val="20"/>
          <w:lang w:val="en-US" w:eastAsia="zh-CN"/>
        </w:rPr>
        <w:t>can be used as baseline.</w:t>
      </w:r>
    </w:p>
    <w:p w14:paraId="1DD89FBB">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EFA6A6C">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37356541">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013A1D19">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312B6725">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0D7F6E7">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11B8073B">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3655E83C">
      <w:pPr>
        <w:pStyle w:val="11"/>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261DED05">
      <w:pPr>
        <w:pStyle w:val="11"/>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34FF60A9">
      <w:pPr>
        <w:pStyle w:val="11"/>
        <w:framePr w:wrap="auto" w:vAnchor="margin" w:hAnchor="text" w:yAlign="inline"/>
        <w:ind w:right="400"/>
        <w:jc w:val="both"/>
        <w:rPr>
          <w:rFonts w:ascii="Times" w:hAnsi="Times" w:eastAsia="宋体"/>
          <w:b w:val="0"/>
          <w:sz w:val="20"/>
          <w:lang w:eastAsia="zh-CN"/>
        </w:rPr>
      </w:pPr>
    </w:p>
    <w:p w14:paraId="34A87F32">
      <w:pPr>
        <w:pStyle w:val="11"/>
        <w:framePr w:wrap="auto" w:vAnchor="margin" w:hAnchor="text" w:yAlign="inline"/>
        <w:ind w:right="400"/>
        <w:jc w:val="both"/>
        <w:rPr>
          <w:rFonts w:hint="eastAsia" w:ascii="Times" w:hAnsi="Times" w:eastAsia="宋体"/>
          <w:b w:val="0"/>
          <w:sz w:val="20"/>
          <w:lang w:val="en-US" w:eastAsia="zh-CN"/>
        </w:rPr>
      </w:pPr>
    </w:p>
    <w:p w14:paraId="29E881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36D8367D"/>
    <w:multiLevelType w:val="multilevel"/>
    <w:tmpl w:val="36D8367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4"/>
  </w:num>
  <w:num w:numId="3">
    <w:abstractNumId w:val="5"/>
  </w:num>
  <w:num w:numId="4">
    <w:abstractNumId w:val="7"/>
  </w:num>
  <w:num w:numId="5">
    <w:abstractNumId w:val="0"/>
  </w:num>
  <w:num w:numId="6">
    <w:abstractNumId w:val="2"/>
  </w:num>
  <w:num w:numId="7">
    <w:abstractNumId w:val="1"/>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20F59"/>
    <w:rsid w:val="039B37C7"/>
    <w:rsid w:val="095F3199"/>
    <w:rsid w:val="0A196B00"/>
    <w:rsid w:val="13E54515"/>
    <w:rsid w:val="154B4C98"/>
    <w:rsid w:val="15613208"/>
    <w:rsid w:val="15CD1D72"/>
    <w:rsid w:val="1E262080"/>
    <w:rsid w:val="1EA13FCF"/>
    <w:rsid w:val="22F84732"/>
    <w:rsid w:val="27AF0600"/>
    <w:rsid w:val="293A1AAD"/>
    <w:rsid w:val="34A007DF"/>
    <w:rsid w:val="372B2789"/>
    <w:rsid w:val="39A706A6"/>
    <w:rsid w:val="3B16110E"/>
    <w:rsid w:val="4C6C6C1A"/>
    <w:rsid w:val="4D4B18DC"/>
    <w:rsid w:val="56E733A1"/>
    <w:rsid w:val="5A5A0169"/>
    <w:rsid w:val="5ECC2E07"/>
    <w:rsid w:val="613009FC"/>
    <w:rsid w:val="67A4673A"/>
    <w:rsid w:val="71EA0185"/>
    <w:rsid w:val="73C1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pPr>
      <w:spacing w:before="120" w:after="0"/>
    </w:pPr>
    <w:rPr>
      <w:rFonts w:eastAsia="MS Mincho"/>
    </w:r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2025-02-07T08:42:53Z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